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A0A" w:rsidRDefault="00EC6539" w:rsidP="00A30A0A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43.8pt;margin-top:-23.8pt;width:537.75pt;height:189.1pt;z-index:-251658240">
            <v:imagedata r:id="rId7" o:title=""/>
          </v:shape>
          <o:OLEObject Type="Embed" ProgID="PBrush" ShapeID="_x0000_s1026" DrawAspect="Content" ObjectID="_1426419809" r:id="rId8"/>
        </w:pict>
      </w:r>
      <w:r w:rsidR="00A30A0A">
        <w:t xml:space="preserve">  </w:t>
      </w:r>
      <w:r w:rsidR="00A30A0A">
        <w:object w:dxaOrig="6053" w:dyaOrig="1078">
          <v:shape id="_x0000_i1026" type="#_x0000_t75" style="width:287.25pt;height:51.75pt" o:ole="">
            <v:imagedata r:id="rId9" o:title=""/>
          </v:shape>
          <o:OLEObject Type="Embed" ProgID="Visio.Drawing.11" ShapeID="_x0000_i1026" DrawAspect="Content" ObjectID="_1426419808" r:id="rId10"/>
        </w:object>
      </w:r>
    </w:p>
    <w:p w:rsidR="00A30A0A" w:rsidRPr="00422F6D" w:rsidRDefault="00A30A0A" w:rsidP="00A30A0A">
      <w:pPr>
        <w:tabs>
          <w:tab w:val="left" w:pos="7725"/>
        </w:tabs>
        <w:jc w:val="center"/>
        <w:rPr>
          <w:sz w:val="16"/>
          <w:szCs w:val="16"/>
        </w:rPr>
      </w:pPr>
    </w:p>
    <w:p w:rsidR="00A30A0A" w:rsidRPr="005C5E8E" w:rsidRDefault="00A30A0A" w:rsidP="00A30A0A">
      <w:pPr>
        <w:jc w:val="center"/>
        <w:rPr>
          <w:b/>
          <w:color w:val="0619A2"/>
          <w:sz w:val="32"/>
          <w:szCs w:val="32"/>
        </w:rPr>
      </w:pPr>
      <w:r w:rsidRPr="005C5E8E">
        <w:rPr>
          <w:b/>
          <w:color w:val="0619A2"/>
          <w:sz w:val="32"/>
          <w:szCs w:val="32"/>
        </w:rPr>
        <w:t>ЕВРАЗИЙСКАЯ ЭКОНОМИЧЕСКАЯ КОМИССИЯ</w:t>
      </w:r>
    </w:p>
    <w:p w:rsidR="00A30A0A" w:rsidRPr="005C5E8E" w:rsidRDefault="00A30A0A" w:rsidP="00A30A0A">
      <w:pPr>
        <w:jc w:val="center"/>
        <w:rPr>
          <w:b/>
          <w:color w:val="0619A2"/>
          <w:sz w:val="36"/>
          <w:szCs w:val="36"/>
        </w:rPr>
      </w:pPr>
      <w:r w:rsidRPr="005C5E8E">
        <w:rPr>
          <w:b/>
          <w:color w:val="0619A2"/>
          <w:sz w:val="36"/>
          <w:szCs w:val="36"/>
        </w:rPr>
        <w:t>КОЛЛЕГИЯ</w:t>
      </w:r>
    </w:p>
    <w:p w:rsidR="00A30A0A" w:rsidRPr="005C5E8E" w:rsidRDefault="00A30A0A" w:rsidP="00A30A0A">
      <w:pPr>
        <w:jc w:val="center"/>
        <w:rPr>
          <w:b/>
          <w:color w:val="0619A2"/>
          <w:sz w:val="10"/>
          <w:szCs w:val="10"/>
        </w:rPr>
      </w:pPr>
    </w:p>
    <w:p w:rsidR="00A30A0A" w:rsidRPr="006C73AF" w:rsidRDefault="00A30A0A" w:rsidP="00A30A0A">
      <w:pPr>
        <w:jc w:val="right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7CEF24" wp14:editId="34EF1391">
                <wp:simplePos x="0" y="0"/>
                <wp:positionH relativeFrom="column">
                  <wp:posOffset>-5715</wp:posOffset>
                </wp:positionH>
                <wp:positionV relativeFrom="paragraph">
                  <wp:posOffset>4445</wp:posOffset>
                </wp:positionV>
                <wp:extent cx="5939790" cy="10795"/>
                <wp:effectExtent l="0" t="0" r="22860" b="2730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9790" cy="10795"/>
                        </a:xfrm>
                        <a:prstGeom prst="rect">
                          <a:avLst/>
                        </a:prstGeom>
                        <a:solidFill>
                          <a:srgbClr val="0619A2"/>
                        </a:solidFill>
                        <a:ln w="9525">
                          <a:solidFill>
                            <a:srgbClr val="050C9D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.45pt;margin-top:.35pt;width:467.7pt;height: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" fillcolor="#0619a2" strokecolor="#050c9d"/>
            </w:pict>
          </mc:Fallback>
        </mc:AlternateContent>
      </w:r>
    </w:p>
    <w:p w:rsidR="00A30A0A" w:rsidRPr="006C73AF" w:rsidRDefault="00A30A0A" w:rsidP="00A30A0A">
      <w:pPr>
        <w:jc w:val="right"/>
        <w:rPr>
          <w:sz w:val="28"/>
          <w:szCs w:val="28"/>
        </w:rPr>
      </w:pPr>
    </w:p>
    <w:p w:rsidR="00A30A0A" w:rsidRPr="006C73AF" w:rsidRDefault="00A30A0A" w:rsidP="00A30A0A">
      <w:pPr>
        <w:jc w:val="center"/>
        <w:rPr>
          <w:b/>
          <w:snapToGrid w:val="0"/>
          <w:color w:val="000000"/>
          <w:spacing w:val="80"/>
          <w:sz w:val="28"/>
          <w:szCs w:val="28"/>
        </w:rPr>
      </w:pPr>
      <w:r w:rsidRPr="006C73AF">
        <w:rPr>
          <w:b/>
          <w:snapToGrid w:val="0"/>
          <w:color w:val="000000"/>
          <w:spacing w:val="80"/>
          <w:sz w:val="28"/>
          <w:szCs w:val="28"/>
        </w:rPr>
        <w:t>РЕШЕНИЕ</w:t>
      </w:r>
    </w:p>
    <w:p w:rsidR="00A30A0A" w:rsidRPr="00A90E2C" w:rsidRDefault="00A30A0A" w:rsidP="00A30A0A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77"/>
        <w:gridCol w:w="1276"/>
        <w:gridCol w:w="4217"/>
      </w:tblGrid>
      <w:tr w:rsidR="00A30A0A" w:rsidRPr="00A90E2C" w:rsidTr="00C414AF">
        <w:trPr>
          <w:trHeight w:val="419"/>
        </w:trPr>
        <w:tc>
          <w:tcPr>
            <w:tcW w:w="4077" w:type="dxa"/>
            <w:hideMark/>
          </w:tcPr>
          <w:p w:rsidR="00A30A0A" w:rsidRPr="00A90E2C" w:rsidRDefault="00A30A0A" w:rsidP="00C414AF">
            <w:pPr>
              <w:rPr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A90E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марта</w:t>
            </w:r>
            <w:r w:rsidRPr="00A90E2C">
              <w:rPr>
                <w:sz w:val="28"/>
                <w:szCs w:val="28"/>
              </w:rPr>
              <w:t xml:space="preserve"> 201</w:t>
            </w:r>
            <w:r>
              <w:rPr>
                <w:sz w:val="28"/>
                <w:szCs w:val="28"/>
              </w:rPr>
              <w:t>3</w:t>
            </w:r>
            <w:r w:rsidRPr="00A90E2C">
              <w:rPr>
                <w:sz w:val="28"/>
                <w:szCs w:val="28"/>
              </w:rPr>
              <w:t> г.</w:t>
            </w:r>
          </w:p>
        </w:tc>
        <w:tc>
          <w:tcPr>
            <w:tcW w:w="1276" w:type="dxa"/>
          </w:tcPr>
          <w:p w:rsidR="00A30A0A" w:rsidRPr="00AA0773" w:rsidRDefault="00EC6539" w:rsidP="00C414AF">
            <w:pPr>
              <w:ind w:lef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59</w:t>
            </w:r>
          </w:p>
        </w:tc>
        <w:tc>
          <w:tcPr>
            <w:tcW w:w="4217" w:type="dxa"/>
            <w:hideMark/>
          </w:tcPr>
          <w:p w:rsidR="00A30A0A" w:rsidRPr="00A90E2C" w:rsidRDefault="00A30A0A" w:rsidP="00C414AF">
            <w:pPr>
              <w:jc w:val="center"/>
              <w:rPr>
                <w:szCs w:val="28"/>
              </w:rPr>
            </w:pPr>
            <w:r w:rsidRPr="00A90E2C">
              <w:rPr>
                <w:sz w:val="28"/>
                <w:szCs w:val="28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A90E2C">
              <w:rPr>
                <w:sz w:val="28"/>
                <w:szCs w:val="28"/>
              </w:rPr>
              <w:t xml:space="preserve"> Москва</w:t>
            </w:r>
          </w:p>
        </w:tc>
      </w:tr>
    </w:tbl>
    <w:p w:rsidR="00A65522" w:rsidRDefault="00A65522">
      <w:pPr>
        <w:rPr>
          <w:sz w:val="28"/>
          <w:szCs w:val="28"/>
        </w:rPr>
      </w:pPr>
    </w:p>
    <w:p w:rsidR="00A30A0A" w:rsidRDefault="00A30A0A" w:rsidP="00A30A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75DA0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 xml:space="preserve"> необходимости выполнения </w:t>
      </w:r>
      <w:r w:rsidRPr="00D60CFF">
        <w:rPr>
          <w:b/>
          <w:color w:val="000000"/>
          <w:sz w:val="28"/>
          <w:szCs w:val="28"/>
        </w:rPr>
        <w:t>г</w:t>
      </w:r>
      <w:r w:rsidRPr="00D60CFF">
        <w:rPr>
          <w:b/>
          <w:bCs/>
          <w:sz w:val="28"/>
          <w:szCs w:val="28"/>
        </w:rPr>
        <w:t>осударствами – членами Таможенного</w:t>
      </w:r>
    </w:p>
    <w:p w:rsidR="00A30A0A" w:rsidRDefault="00A30A0A" w:rsidP="00A30A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60CFF">
        <w:rPr>
          <w:b/>
          <w:bCs/>
          <w:sz w:val="28"/>
          <w:szCs w:val="28"/>
        </w:rPr>
        <w:t xml:space="preserve"> союза и Единого экономического пространства положений </w:t>
      </w:r>
    </w:p>
    <w:p w:rsidR="00A30A0A" w:rsidRDefault="00A30A0A" w:rsidP="00A30A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D18C8">
        <w:rPr>
          <w:b/>
          <w:bCs/>
          <w:sz w:val="28"/>
          <w:szCs w:val="28"/>
        </w:rPr>
        <w:t>Соглашения о регулировании доступа к</w:t>
      </w:r>
      <w:bookmarkStart w:id="0" w:name="_GoBack"/>
      <w:bookmarkEnd w:id="0"/>
      <w:r w:rsidRPr="00DD18C8">
        <w:rPr>
          <w:b/>
          <w:bCs/>
          <w:sz w:val="28"/>
          <w:szCs w:val="28"/>
        </w:rPr>
        <w:t xml:space="preserve"> услугам железнодорожного транспорта, включая основы тарифной политики</w:t>
      </w:r>
      <w:r>
        <w:rPr>
          <w:b/>
          <w:bCs/>
          <w:sz w:val="28"/>
          <w:szCs w:val="28"/>
        </w:rPr>
        <w:t>,</w:t>
      </w:r>
      <w:r w:rsidRPr="00DD18C8">
        <w:rPr>
          <w:b/>
          <w:bCs/>
          <w:sz w:val="28"/>
          <w:szCs w:val="28"/>
        </w:rPr>
        <w:t xml:space="preserve"> </w:t>
      </w:r>
    </w:p>
    <w:p w:rsidR="00A30A0A" w:rsidRPr="00575DA0" w:rsidRDefault="00A30A0A" w:rsidP="00A30A0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DD18C8">
        <w:rPr>
          <w:b/>
          <w:bCs/>
          <w:sz w:val="28"/>
          <w:szCs w:val="28"/>
        </w:rPr>
        <w:t>от 9 декабря 2010 года</w:t>
      </w:r>
    </w:p>
    <w:p w:rsidR="00A30A0A" w:rsidRDefault="00A30A0A" w:rsidP="00A30A0A">
      <w:pPr>
        <w:pStyle w:val="Style8"/>
        <w:widowControl/>
        <w:spacing w:line="48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30A0A" w:rsidRDefault="00A30A0A" w:rsidP="00A30A0A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Приняв к сведению информацию члена Коллегии (Министра) по энергетике и инфраструктуре Ахметова Д.К. о результатах мониторинга выполнения положений </w:t>
      </w:r>
      <w:r w:rsidRPr="000C48AE">
        <w:rPr>
          <w:color w:val="000000"/>
          <w:sz w:val="28"/>
          <w:szCs w:val="28"/>
        </w:rPr>
        <w:t>Соглашения о регулировании доступа к услугам железнодорожного транспорта, включая основы тарифной политики</w:t>
      </w:r>
      <w:r>
        <w:rPr>
          <w:color w:val="000000"/>
          <w:sz w:val="28"/>
          <w:szCs w:val="28"/>
        </w:rPr>
        <w:t xml:space="preserve">, от                      9 декабря 2010 года (далее – Соглашение), </w:t>
      </w:r>
      <w:r w:rsidRPr="00F07D92">
        <w:rPr>
          <w:color w:val="000000"/>
          <w:sz w:val="28"/>
          <w:szCs w:val="28"/>
        </w:rPr>
        <w:t>констатируя неисполнение</w:t>
      </w:r>
      <w:r>
        <w:rPr>
          <w:color w:val="000000"/>
          <w:sz w:val="28"/>
          <w:szCs w:val="28"/>
        </w:rPr>
        <w:t xml:space="preserve"> </w:t>
      </w:r>
      <w:r w:rsidRPr="00F07D92">
        <w:rPr>
          <w:color w:val="000000"/>
          <w:sz w:val="28"/>
          <w:szCs w:val="28"/>
        </w:rPr>
        <w:t xml:space="preserve">государствами – членами Таможенного союза и Единого экономического пространства </w:t>
      </w:r>
      <w:r>
        <w:rPr>
          <w:color w:val="000000"/>
          <w:sz w:val="28"/>
          <w:szCs w:val="28"/>
        </w:rPr>
        <w:t xml:space="preserve">(далее – государства-члены) ряда положений Соглашения </w:t>
      </w:r>
      <w:r w:rsidRPr="00F07D92">
        <w:rPr>
          <w:color w:val="000000"/>
          <w:sz w:val="28"/>
          <w:szCs w:val="28"/>
        </w:rPr>
        <w:t>и в соответствии со статьей 20 Договора</w:t>
      </w:r>
      <w:proofErr w:type="gramEnd"/>
      <w:r w:rsidRPr="00F07D92">
        <w:rPr>
          <w:color w:val="000000"/>
          <w:sz w:val="28"/>
          <w:szCs w:val="28"/>
        </w:rPr>
        <w:t xml:space="preserve"> о Евразийской экономической комиссии от 18 ноября 2011 года, Коллегия Евразийской экономической комиссии</w:t>
      </w:r>
      <w:r w:rsidRPr="00CE25FD">
        <w:rPr>
          <w:color w:val="000000"/>
          <w:spacing w:val="20"/>
          <w:sz w:val="28"/>
          <w:szCs w:val="28"/>
        </w:rPr>
        <w:t xml:space="preserve"> </w:t>
      </w:r>
      <w:r w:rsidRPr="00871CDF">
        <w:rPr>
          <w:rFonts w:cs="Aharoni"/>
          <w:b/>
          <w:spacing w:val="40"/>
          <w:sz w:val="28"/>
          <w:szCs w:val="28"/>
        </w:rPr>
        <w:t>решил</w:t>
      </w:r>
      <w:r w:rsidRPr="00EE6B02">
        <w:rPr>
          <w:rFonts w:cs="Aharoni"/>
          <w:b/>
          <w:sz w:val="28"/>
          <w:szCs w:val="28"/>
        </w:rPr>
        <w:t>а:</w:t>
      </w:r>
    </w:p>
    <w:p w:rsidR="00A30A0A" w:rsidRDefault="00A30A0A" w:rsidP="00A30A0A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07D92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> </w:t>
      </w:r>
      <w:r w:rsidRPr="00F07D92">
        <w:rPr>
          <w:color w:val="000000"/>
          <w:sz w:val="28"/>
          <w:szCs w:val="28"/>
        </w:rPr>
        <w:t xml:space="preserve">Уведомить </w:t>
      </w:r>
      <w:r>
        <w:rPr>
          <w:color w:val="000000"/>
          <w:sz w:val="28"/>
          <w:szCs w:val="28"/>
        </w:rPr>
        <w:t>государства-члены</w:t>
      </w:r>
      <w:r w:rsidRPr="00F07D92">
        <w:rPr>
          <w:color w:val="000000"/>
          <w:sz w:val="28"/>
          <w:szCs w:val="28"/>
        </w:rPr>
        <w:t xml:space="preserve"> о н</w:t>
      </w:r>
      <w:r>
        <w:rPr>
          <w:color w:val="000000"/>
          <w:sz w:val="28"/>
          <w:szCs w:val="28"/>
        </w:rPr>
        <w:t>еобходимости исполнения:</w:t>
      </w:r>
    </w:p>
    <w:p w:rsidR="00A30A0A" w:rsidRDefault="00A30A0A" w:rsidP="00A30A0A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пункта 9 статьи 6 </w:t>
      </w:r>
      <w:r w:rsidRPr="00F07D92">
        <w:rPr>
          <w:color w:val="000000"/>
          <w:sz w:val="28"/>
          <w:szCs w:val="28"/>
        </w:rPr>
        <w:t>Соглашения</w:t>
      </w:r>
      <w:r w:rsidDel="009D66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части </w:t>
      </w:r>
      <w:r w:rsidRPr="00CA40F8">
        <w:rPr>
          <w:color w:val="000000"/>
          <w:sz w:val="28"/>
          <w:szCs w:val="28"/>
        </w:rPr>
        <w:t>прин</w:t>
      </w:r>
      <w:r>
        <w:rPr>
          <w:color w:val="000000"/>
          <w:sz w:val="28"/>
          <w:szCs w:val="28"/>
        </w:rPr>
        <w:t>ятия</w:t>
      </w:r>
      <w:r w:rsidRPr="00CA40F8">
        <w:rPr>
          <w:color w:val="000000"/>
          <w:sz w:val="28"/>
          <w:szCs w:val="28"/>
        </w:rPr>
        <w:t xml:space="preserve"> едины</w:t>
      </w:r>
      <w:r>
        <w:rPr>
          <w:color w:val="000000"/>
          <w:sz w:val="28"/>
          <w:szCs w:val="28"/>
        </w:rPr>
        <w:t>х</w:t>
      </w:r>
      <w:r w:rsidRPr="00CA40F8">
        <w:rPr>
          <w:color w:val="000000"/>
          <w:sz w:val="28"/>
          <w:szCs w:val="28"/>
        </w:rPr>
        <w:t xml:space="preserve"> правил установления искл</w:t>
      </w:r>
      <w:r>
        <w:rPr>
          <w:color w:val="000000"/>
          <w:sz w:val="28"/>
          <w:szCs w:val="28"/>
        </w:rPr>
        <w:t>ючительных тарифов, определяющих</w:t>
      </w:r>
      <w:r w:rsidRPr="00CA40F8">
        <w:rPr>
          <w:color w:val="000000"/>
          <w:sz w:val="28"/>
          <w:szCs w:val="28"/>
        </w:rPr>
        <w:t xml:space="preserve"> порядок предоставления исключительных тарифов и перечень необходимых материалов, обосновывающих необходимость установления исключительных тарифов для товаропроизводителей государств</w:t>
      </w:r>
      <w:r>
        <w:rPr>
          <w:color w:val="000000"/>
          <w:sz w:val="28"/>
          <w:szCs w:val="28"/>
        </w:rPr>
        <w:t>-членов</w:t>
      </w:r>
      <w:r w:rsidRPr="00CA40F8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предусмотренных Соглашением </w:t>
      </w:r>
      <w:r w:rsidRPr="00510980">
        <w:rPr>
          <w:color w:val="000000"/>
          <w:sz w:val="28"/>
          <w:szCs w:val="28"/>
        </w:rPr>
        <w:t xml:space="preserve">о Единых правилах установления исключительных тарифов </w:t>
      </w:r>
      <w:r>
        <w:rPr>
          <w:color w:val="000000"/>
          <w:sz w:val="28"/>
          <w:szCs w:val="28"/>
        </w:rPr>
        <w:t xml:space="preserve">           </w:t>
      </w:r>
      <w:r w:rsidRPr="00510980">
        <w:rPr>
          <w:color w:val="000000"/>
          <w:sz w:val="28"/>
          <w:szCs w:val="28"/>
        </w:rPr>
        <w:lastRenderedPageBreak/>
        <w:t>на услуги организаций железнодорожного транспорта при перевозке грузов</w:t>
      </w:r>
      <w:r>
        <w:rPr>
          <w:color w:val="000000"/>
          <w:sz w:val="28"/>
          <w:szCs w:val="28"/>
        </w:rPr>
        <w:t>,</w:t>
      </w:r>
      <w:r w:rsidRPr="0051098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проект которого одобрен Решением </w:t>
      </w:r>
      <w:r w:rsidRPr="00510980">
        <w:rPr>
          <w:color w:val="000000"/>
          <w:sz w:val="28"/>
          <w:szCs w:val="28"/>
        </w:rPr>
        <w:t xml:space="preserve">Коллегии Евразийской экономической комиссии от 12 июля 2012 г. </w:t>
      </w:r>
      <w:r>
        <w:rPr>
          <w:color w:val="000000"/>
          <w:sz w:val="28"/>
          <w:szCs w:val="28"/>
        </w:rPr>
        <w:t>№ 119</w:t>
      </w:r>
      <w:proofErr w:type="gramEnd"/>
      <w:r>
        <w:rPr>
          <w:color w:val="000000"/>
          <w:sz w:val="28"/>
          <w:szCs w:val="28"/>
        </w:rPr>
        <w:t xml:space="preserve">, </w:t>
      </w:r>
      <w:proofErr w:type="gramStart"/>
      <w:r w:rsidRPr="00CA40F8">
        <w:rPr>
          <w:color w:val="000000"/>
          <w:sz w:val="28"/>
          <w:szCs w:val="28"/>
        </w:rPr>
        <w:t xml:space="preserve">а также правил рассмотрения </w:t>
      </w:r>
      <w:r>
        <w:rPr>
          <w:color w:val="000000"/>
          <w:sz w:val="28"/>
          <w:szCs w:val="28"/>
        </w:rPr>
        <w:t>Евразийской экономической комиссией</w:t>
      </w:r>
      <w:r w:rsidRPr="00CA40F8">
        <w:rPr>
          <w:color w:val="000000"/>
          <w:sz w:val="28"/>
          <w:szCs w:val="28"/>
        </w:rPr>
        <w:t xml:space="preserve"> заявлений потребителей</w:t>
      </w:r>
      <w:r w:rsidRPr="00510980">
        <w:rPr>
          <w:color w:val="000000"/>
          <w:sz w:val="28"/>
          <w:szCs w:val="28"/>
        </w:rPr>
        <w:t xml:space="preserve">, предусмотренных Соглашением о Правилах рассмотрения Евразийской экономической комиссией заявлений потребителей о защите своих нарушенных прав и интересов действиями организаций железнодорожного транспорта по изменению уровня тарифов на услуги железнодорожного транспорта по перевозке грузов, </w:t>
      </w:r>
      <w:r>
        <w:rPr>
          <w:color w:val="000000"/>
          <w:sz w:val="28"/>
          <w:szCs w:val="28"/>
        </w:rPr>
        <w:t xml:space="preserve">проект которого </w:t>
      </w:r>
      <w:r w:rsidRPr="00510980">
        <w:rPr>
          <w:color w:val="000000"/>
          <w:sz w:val="28"/>
          <w:szCs w:val="28"/>
        </w:rPr>
        <w:t>одобре</w:t>
      </w:r>
      <w:r>
        <w:rPr>
          <w:color w:val="000000"/>
          <w:sz w:val="28"/>
          <w:szCs w:val="28"/>
        </w:rPr>
        <w:t>н</w:t>
      </w:r>
      <w:r w:rsidRPr="00510980">
        <w:rPr>
          <w:color w:val="000000"/>
          <w:sz w:val="28"/>
          <w:szCs w:val="28"/>
        </w:rPr>
        <w:t xml:space="preserve"> Решением Коллегии Евразийской экономической комиссии от 12 июля 2012 г. </w:t>
      </w:r>
      <w:r>
        <w:rPr>
          <w:color w:val="000000"/>
          <w:sz w:val="28"/>
          <w:szCs w:val="28"/>
        </w:rPr>
        <w:t xml:space="preserve">              </w:t>
      </w:r>
      <w:r w:rsidRPr="00510980">
        <w:rPr>
          <w:color w:val="000000"/>
          <w:sz w:val="28"/>
          <w:szCs w:val="28"/>
        </w:rPr>
        <w:t>№ 11</w:t>
      </w:r>
      <w:r>
        <w:rPr>
          <w:color w:val="000000"/>
          <w:sz w:val="28"/>
          <w:szCs w:val="28"/>
        </w:rPr>
        <w:t>8;</w:t>
      </w:r>
      <w:proofErr w:type="gramEnd"/>
    </w:p>
    <w:p w:rsidR="00A30A0A" w:rsidRDefault="00A30A0A" w:rsidP="00A30A0A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пункта 2 статьи 7 Соглашения </w:t>
      </w:r>
      <w:proofErr w:type="gramStart"/>
      <w:r>
        <w:rPr>
          <w:color w:val="000000"/>
          <w:sz w:val="28"/>
          <w:szCs w:val="28"/>
        </w:rPr>
        <w:t xml:space="preserve">в части применения каждым государством-членом унифицированных тарифов </w:t>
      </w:r>
      <w:r w:rsidRPr="00473578">
        <w:rPr>
          <w:color w:val="000000"/>
          <w:sz w:val="28"/>
          <w:szCs w:val="28"/>
        </w:rPr>
        <w:t xml:space="preserve">при перевозках грузов железнодорожным транспортом с территории </w:t>
      </w:r>
      <w:r>
        <w:rPr>
          <w:color w:val="000000"/>
          <w:sz w:val="28"/>
          <w:szCs w:val="28"/>
        </w:rPr>
        <w:t xml:space="preserve">одного </w:t>
      </w:r>
      <w:r w:rsidRPr="00853A0B">
        <w:rPr>
          <w:color w:val="000000"/>
          <w:sz w:val="28"/>
          <w:szCs w:val="28"/>
        </w:rPr>
        <w:t>государства-члена транзитом через территорию другого государства-члена в третьи страны</w:t>
      </w:r>
      <w:proofErr w:type="gramEnd"/>
      <w:r w:rsidRPr="00853A0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           </w:t>
      </w:r>
      <w:r w:rsidRPr="00853A0B">
        <w:rPr>
          <w:color w:val="000000"/>
          <w:sz w:val="28"/>
          <w:szCs w:val="28"/>
        </w:rPr>
        <w:t>и в обратном направлении.</w:t>
      </w:r>
    </w:p>
    <w:p w:rsidR="00A30A0A" w:rsidRDefault="00A30A0A" w:rsidP="00A30A0A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Государствам-членам представить в течение </w:t>
      </w:r>
      <w:r w:rsidRPr="00F07D92">
        <w:rPr>
          <w:color w:val="000000"/>
          <w:sz w:val="28"/>
          <w:szCs w:val="28"/>
        </w:rPr>
        <w:t>1 месяца в Евразийскую экономическую коми</w:t>
      </w:r>
      <w:r>
        <w:rPr>
          <w:color w:val="000000"/>
          <w:sz w:val="28"/>
          <w:szCs w:val="28"/>
        </w:rPr>
        <w:t>ссию информацию</w:t>
      </w:r>
      <w:r w:rsidRPr="00F07D9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 устранении указанных нарушений.</w:t>
      </w:r>
    </w:p>
    <w:p w:rsidR="00A30A0A" w:rsidRDefault="00A30A0A" w:rsidP="00A30A0A">
      <w:pPr>
        <w:pStyle w:val="a3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</w:t>
      </w:r>
      <w:r w:rsidRPr="00F07D92">
        <w:rPr>
          <w:color w:val="000000"/>
          <w:sz w:val="28"/>
          <w:szCs w:val="28"/>
        </w:rPr>
        <w:t xml:space="preserve">Настоящее Решение вступает в силу по истечении 30 календарных дней </w:t>
      </w:r>
      <w:proofErr w:type="gramStart"/>
      <w:r w:rsidRPr="00F07D92">
        <w:rPr>
          <w:color w:val="000000"/>
          <w:sz w:val="28"/>
          <w:szCs w:val="28"/>
        </w:rPr>
        <w:t>с</w:t>
      </w:r>
      <w:proofErr w:type="gramEnd"/>
      <w:r w:rsidRPr="00F07D92">
        <w:rPr>
          <w:color w:val="000000"/>
          <w:sz w:val="28"/>
          <w:szCs w:val="28"/>
        </w:rPr>
        <w:t xml:space="preserve"> даты его официального опубликования.</w:t>
      </w:r>
    </w:p>
    <w:p w:rsidR="00A30A0A" w:rsidRDefault="00A30A0A">
      <w:pPr>
        <w:rPr>
          <w:sz w:val="28"/>
          <w:szCs w:val="28"/>
        </w:rPr>
      </w:pPr>
    </w:p>
    <w:p w:rsidR="00A30A0A" w:rsidRDefault="00A30A0A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3"/>
        <w:gridCol w:w="4778"/>
      </w:tblGrid>
      <w:tr w:rsidR="00A30A0A" w:rsidRPr="0054036B" w:rsidTr="00C414AF">
        <w:tc>
          <w:tcPr>
            <w:tcW w:w="4793" w:type="dxa"/>
          </w:tcPr>
          <w:p w:rsidR="00A30A0A" w:rsidRPr="0054036B" w:rsidRDefault="00A30A0A" w:rsidP="00C414AF">
            <w:pPr>
              <w:spacing w:line="360" w:lineRule="auto"/>
              <w:rPr>
                <w:szCs w:val="28"/>
              </w:rPr>
            </w:pPr>
            <w:r w:rsidRPr="0054036B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4778" w:type="dxa"/>
          </w:tcPr>
          <w:p w:rsidR="00A30A0A" w:rsidRPr="0054036B" w:rsidRDefault="00A30A0A" w:rsidP="00C414AF">
            <w:pPr>
              <w:spacing w:line="360" w:lineRule="auto"/>
              <w:jc w:val="right"/>
              <w:rPr>
                <w:szCs w:val="28"/>
              </w:rPr>
            </w:pPr>
            <w:r w:rsidRPr="0054036B">
              <w:rPr>
                <w:sz w:val="28"/>
                <w:szCs w:val="28"/>
              </w:rPr>
              <w:t>В.Б. Христенко</w:t>
            </w:r>
          </w:p>
        </w:tc>
      </w:tr>
    </w:tbl>
    <w:p w:rsidR="00A30A0A" w:rsidRPr="00A30A0A" w:rsidRDefault="00A30A0A">
      <w:pPr>
        <w:rPr>
          <w:sz w:val="28"/>
          <w:szCs w:val="28"/>
        </w:rPr>
      </w:pPr>
    </w:p>
    <w:p w:rsidR="00A30A0A" w:rsidRDefault="00A30A0A"/>
    <w:sectPr w:rsidR="00A30A0A" w:rsidSect="00A30A0A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A0A" w:rsidRDefault="00A30A0A" w:rsidP="00A30A0A">
      <w:r>
        <w:separator/>
      </w:r>
    </w:p>
  </w:endnote>
  <w:endnote w:type="continuationSeparator" w:id="0">
    <w:p w:rsidR="00A30A0A" w:rsidRDefault="00A30A0A" w:rsidP="00A30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A0A" w:rsidRDefault="00A30A0A" w:rsidP="00A30A0A">
      <w:r>
        <w:separator/>
      </w:r>
    </w:p>
  </w:footnote>
  <w:footnote w:type="continuationSeparator" w:id="0">
    <w:p w:rsidR="00A30A0A" w:rsidRDefault="00A30A0A" w:rsidP="00A30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147305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30A0A" w:rsidRPr="00A30A0A" w:rsidRDefault="00A30A0A">
        <w:pPr>
          <w:pStyle w:val="a4"/>
          <w:jc w:val="center"/>
          <w:rPr>
            <w:sz w:val="28"/>
            <w:szCs w:val="28"/>
          </w:rPr>
        </w:pPr>
        <w:r w:rsidRPr="00A30A0A">
          <w:rPr>
            <w:sz w:val="28"/>
            <w:szCs w:val="28"/>
          </w:rPr>
          <w:fldChar w:fldCharType="begin"/>
        </w:r>
        <w:r w:rsidRPr="00A30A0A">
          <w:rPr>
            <w:sz w:val="28"/>
            <w:szCs w:val="28"/>
          </w:rPr>
          <w:instrText>PAGE   \* MERGEFORMAT</w:instrText>
        </w:r>
        <w:r w:rsidRPr="00A30A0A">
          <w:rPr>
            <w:sz w:val="28"/>
            <w:szCs w:val="28"/>
          </w:rPr>
          <w:fldChar w:fldCharType="separate"/>
        </w:r>
        <w:r w:rsidR="00EC6539">
          <w:rPr>
            <w:noProof/>
            <w:sz w:val="28"/>
            <w:szCs w:val="28"/>
          </w:rPr>
          <w:t>2</w:t>
        </w:r>
        <w:r w:rsidRPr="00A30A0A">
          <w:rPr>
            <w:sz w:val="28"/>
            <w:szCs w:val="28"/>
          </w:rPr>
          <w:fldChar w:fldCharType="end"/>
        </w:r>
      </w:p>
    </w:sdtContent>
  </w:sdt>
  <w:p w:rsidR="00A30A0A" w:rsidRDefault="00A30A0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A0A"/>
    <w:rsid w:val="000026D7"/>
    <w:rsid w:val="00017BB3"/>
    <w:rsid w:val="00052453"/>
    <w:rsid w:val="0005371D"/>
    <w:rsid w:val="00056C88"/>
    <w:rsid w:val="00057364"/>
    <w:rsid w:val="00062DB0"/>
    <w:rsid w:val="00064D25"/>
    <w:rsid w:val="000B7841"/>
    <w:rsid w:val="00121365"/>
    <w:rsid w:val="001263E8"/>
    <w:rsid w:val="0014168F"/>
    <w:rsid w:val="00142827"/>
    <w:rsid w:val="00155C53"/>
    <w:rsid w:val="0015678D"/>
    <w:rsid w:val="001721DF"/>
    <w:rsid w:val="001A4F7E"/>
    <w:rsid w:val="001B2E86"/>
    <w:rsid w:val="001E022D"/>
    <w:rsid w:val="001E7555"/>
    <w:rsid w:val="00221A62"/>
    <w:rsid w:val="00253968"/>
    <w:rsid w:val="002638EB"/>
    <w:rsid w:val="002771DB"/>
    <w:rsid w:val="0028347C"/>
    <w:rsid w:val="002D04E4"/>
    <w:rsid w:val="002D5C6F"/>
    <w:rsid w:val="00321355"/>
    <w:rsid w:val="00340D64"/>
    <w:rsid w:val="003576FC"/>
    <w:rsid w:val="0037496E"/>
    <w:rsid w:val="003A5132"/>
    <w:rsid w:val="003F311A"/>
    <w:rsid w:val="003F5252"/>
    <w:rsid w:val="0042356C"/>
    <w:rsid w:val="004515B8"/>
    <w:rsid w:val="004552C5"/>
    <w:rsid w:val="00480AB4"/>
    <w:rsid w:val="004E04E6"/>
    <w:rsid w:val="004F5B81"/>
    <w:rsid w:val="00504610"/>
    <w:rsid w:val="00573331"/>
    <w:rsid w:val="0058766D"/>
    <w:rsid w:val="005F5B8C"/>
    <w:rsid w:val="006029EA"/>
    <w:rsid w:val="00617587"/>
    <w:rsid w:val="00641920"/>
    <w:rsid w:val="00661B70"/>
    <w:rsid w:val="006750AE"/>
    <w:rsid w:val="0068539C"/>
    <w:rsid w:val="00696E92"/>
    <w:rsid w:val="006B782F"/>
    <w:rsid w:val="006D0435"/>
    <w:rsid w:val="006D2724"/>
    <w:rsid w:val="0070679C"/>
    <w:rsid w:val="0075201D"/>
    <w:rsid w:val="00754EBA"/>
    <w:rsid w:val="0076701C"/>
    <w:rsid w:val="007B5FE4"/>
    <w:rsid w:val="007C21BD"/>
    <w:rsid w:val="007E1D12"/>
    <w:rsid w:val="0083595D"/>
    <w:rsid w:val="00870862"/>
    <w:rsid w:val="008A35A6"/>
    <w:rsid w:val="00934A78"/>
    <w:rsid w:val="00940E02"/>
    <w:rsid w:val="009F73B4"/>
    <w:rsid w:val="00A06638"/>
    <w:rsid w:val="00A06D46"/>
    <w:rsid w:val="00A30A0A"/>
    <w:rsid w:val="00A46789"/>
    <w:rsid w:val="00A51883"/>
    <w:rsid w:val="00A54E58"/>
    <w:rsid w:val="00A65522"/>
    <w:rsid w:val="00A7234A"/>
    <w:rsid w:val="00AB1829"/>
    <w:rsid w:val="00AD15DA"/>
    <w:rsid w:val="00B0086C"/>
    <w:rsid w:val="00B13291"/>
    <w:rsid w:val="00B256A4"/>
    <w:rsid w:val="00B27E7E"/>
    <w:rsid w:val="00B50C86"/>
    <w:rsid w:val="00BB62D1"/>
    <w:rsid w:val="00C25DF5"/>
    <w:rsid w:val="00C54FB9"/>
    <w:rsid w:val="00C7669E"/>
    <w:rsid w:val="00C8479E"/>
    <w:rsid w:val="00C95235"/>
    <w:rsid w:val="00CE08EF"/>
    <w:rsid w:val="00CF0AC5"/>
    <w:rsid w:val="00D57A10"/>
    <w:rsid w:val="00D60113"/>
    <w:rsid w:val="00D82CA1"/>
    <w:rsid w:val="00D93E46"/>
    <w:rsid w:val="00DA08BF"/>
    <w:rsid w:val="00DB51C3"/>
    <w:rsid w:val="00DC67C0"/>
    <w:rsid w:val="00DF51F6"/>
    <w:rsid w:val="00E83D58"/>
    <w:rsid w:val="00E92C06"/>
    <w:rsid w:val="00EB00E1"/>
    <w:rsid w:val="00EC6539"/>
    <w:rsid w:val="00EE2C7D"/>
    <w:rsid w:val="00EE3BF6"/>
    <w:rsid w:val="00F235E0"/>
    <w:rsid w:val="00F822B1"/>
    <w:rsid w:val="00F84E90"/>
    <w:rsid w:val="00FC4E7D"/>
    <w:rsid w:val="00FE6522"/>
    <w:rsid w:val="00FF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A30A0A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30A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0A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0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0A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0A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uiPriority w:val="99"/>
    <w:rsid w:val="00A30A0A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A30A0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0A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0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30A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30A0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Мишачёва Марина Сергеевна</dc:creator>
  <cp:lastModifiedBy>Мишачёва Марина Сергеевна</cp:lastModifiedBy>
  <cp:revision>2</cp:revision>
  <dcterms:created xsi:type="dcterms:W3CDTF">2013-03-27T12:59:00Z</dcterms:created>
  <dcterms:modified xsi:type="dcterms:W3CDTF">2013-04-02T10:57:00Z</dcterms:modified>
</cp:coreProperties>
</file>